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pStyle w:val="Heading2"/>
        <w:contextualSpacing w:val="0"/>
        <w:rPr>
          <w:i w:val="0"/>
          <w:sz w:val="36"/>
          <w:szCs w:val="36"/>
        </w:rPr>
      </w:pPr>
      <w:r w:rsidDel="00000000" w:rsidR="00000000" w:rsidRPr="00000000">
        <w:rPr>
          <w:i w:val="0"/>
          <w:sz w:val="36"/>
          <w:szCs w:val="36"/>
          <w:rtl w:val="0"/>
        </w:rPr>
        <w:t xml:space="preserve">Transfer Records via the Annual Move </w:t>
      </w:r>
    </w:p>
    <w:p w:rsidR="00000000" w:rsidDel="00000000" w:rsidP="00000000" w:rsidRDefault="00000000" w:rsidRPr="00000000" w14:paraId="00000001">
      <w:pPr>
        <w:pStyle w:val="Heading2"/>
        <w:contextualSpacing w:val="0"/>
        <w:rPr/>
      </w:pPr>
      <w:r w:rsidDel="00000000" w:rsidR="00000000" w:rsidRPr="00000000">
        <w:rPr>
          <w:rtl w:val="0"/>
        </w:rPr>
        <w:t xml:space="preserve">Instructions for Using This Job Aid</w:t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240" w:lineRule="auto"/>
        <w:ind w:right="43"/>
        <w:contextualSpacing w:val="0"/>
        <w:rPr>
          <w:i w:val="1"/>
          <w:color w:val="000000"/>
        </w:rPr>
      </w:pPr>
      <w:r w:rsidDel="00000000" w:rsidR="00000000" w:rsidRPr="00000000">
        <w:rPr>
          <w:i w:val="1"/>
          <w:color w:val="000000"/>
          <w:rtl w:val="0"/>
        </w:rPr>
        <w:t xml:space="preserve">Use this job aid when you are assigned to transfer records via the Annual Move.  Check off each step when you have completed the step.</w:t>
      </w:r>
    </w:p>
    <w:tbl>
      <w:tblPr>
        <w:tblStyle w:val="Table1"/>
        <w:tblW w:w="13752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15"/>
        <w:gridCol w:w="10080"/>
        <w:gridCol w:w="857"/>
        <w:tblGridChange w:id="0">
          <w:tblGrid>
            <w:gridCol w:w="2815"/>
            <w:gridCol w:w="10080"/>
            <w:gridCol w:w="857"/>
          </w:tblGrid>
        </w:tblGridChange>
      </w:tblGrid>
      <w:tr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3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  <w:color w:val="00000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Procedure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4">
            <w:pPr>
              <w:spacing w:after="20" w:lineRule="auto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Actions/Decisions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shd w:fill="95b3d7" w:val="clear"/>
            <w:vAlign w:val="center"/>
          </w:tcPr>
          <w:p w:rsidR="00000000" w:rsidDel="00000000" w:rsidP="00000000" w:rsidRDefault="00000000" w:rsidRPr="00000000" w14:paraId="00000005">
            <w:pPr>
              <w:spacing w:after="40" w:lineRule="auto"/>
              <w:contextualSpacing w:val="0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40" w:hRule="atLeast"/>
        </w:trPr>
        <w:tc>
          <w:tcPr>
            <w:vMerge w:val="restart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6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1. Validate disposition of records eligible for transfer to NARA (</w:t>
            </w: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1 July – 1 Sept.)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60" w:before="6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Receive ARCIS list of records eligible for transfer to NARA.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Compare list to internal list and records schedule to validate that all records proposed for transfer are eligible. Note any discrepancies on a spreadsheet. Give spreadsheet to ARO.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740" w:hRule="atLeast"/>
        </w:trPr>
        <w:tc>
          <w:tcPr>
            <w:vMerge w:val="continue"/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contextualSpacing w:val="0"/>
              <w:jc w:val="left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Obtain internal approval from Agency RM Management and record owners for transfer of legal custody of records to NARA. (Only for records without discrepancies)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spacing w:after="0" w:before="0" w:lineRule="auto"/>
              <w:contextualSpacing w:val="0"/>
              <w:jc w:val="center"/>
              <w:rPr>
                <w:rFonts w:ascii="Arial" w:cs="Arial" w:eastAsia="Arial" w:hAnsi="Arial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color w:val="000000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620" w:hRule="atLeast"/>
        </w:trPr>
        <w:tc>
          <w:tcPr>
            <w:tcBorders>
              <w:top w:color="000000" w:space="0" w:sz="18" w:val="single"/>
              <w:left w:color="000000" w:space="0" w:sz="18" w:val="single"/>
              <w:right w:color="000000" w:space="0" w:sz="18" w:val="single"/>
            </w:tcBorders>
            <w:shd w:fill="d9e4ef" w:val="clear"/>
          </w:tcPr>
          <w:p w:rsidR="00000000" w:rsidDel="00000000" w:rsidP="00000000" w:rsidRDefault="00000000" w:rsidRPr="00000000" w14:paraId="0000000F">
            <w:pPr>
              <w:spacing w:after="0" w:before="0" w:lineRule="auto"/>
              <w:contextualSpacing w:val="0"/>
              <w:rPr>
                <w:rFonts w:ascii="Arial" w:cs="Arial" w:eastAsia="Arial" w:hAnsi="Arial"/>
                <w:b w:val="1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2. </w:t>
            </w: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Initiate</w:t>
            </w:r>
            <w:r w:rsidDel="00000000" w:rsidR="00000000" w:rsidRPr="00000000">
              <w:rPr>
                <w:rFonts w:ascii="Arial" w:cs="Arial" w:eastAsia="Arial" w:hAnsi="Arial"/>
                <w:b w:val="1"/>
                <w:rtl w:val="0"/>
              </w:rPr>
              <w:t xml:space="preserve"> Transfer Request in ERA (1 Oct- 1 Dec)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contextualSpacing w:val="1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Submit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Transfer Request for records in ERA.</w:t>
            </w:r>
          </w:p>
        </w:tc>
        <w:tc>
          <w:tcPr>
            <w:tcBorders>
              <w:top w:color="000000" w:space="0" w:sz="18" w:val="single"/>
              <w:left w:color="000000" w:space="0" w:sz="18" w:val="single"/>
              <w:bottom w:color="000000" w:space="0" w:sz="18" w:val="single"/>
              <w:right w:color="000000" w:space="0" w:sz="18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spacing w:after="0" w:before="0" w:lineRule="auto"/>
              <w:contextualSpacing w:val="0"/>
              <w:jc w:val="center"/>
              <w:rPr>
                <w:rFonts w:ascii="Arimo" w:cs="Arimo" w:eastAsia="Arimo" w:hAnsi="Arimo"/>
              </w:rPr>
            </w:pPr>
            <w:r w:rsidDel="00000000" w:rsidR="00000000" w:rsidRPr="00000000">
              <w:rPr>
                <w:rFonts w:ascii="Arial Unicode MS" w:cs="Arial Unicode MS" w:eastAsia="Arial Unicode MS" w:hAnsi="Arial Unicode MS"/>
                <w:rtl w:val="0"/>
              </w:rPr>
              <w:t xml:space="preserve">☐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2">
      <w:pPr>
        <w:contextualSpacing w:val="0"/>
        <w:rPr/>
      </w:pPr>
      <w:bookmarkStart w:colFirst="0" w:colLast="0" w:name="_gjdgxs" w:id="0"/>
      <w:bookmarkEnd w:id="0"/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2240" w:w="15840"/>
      <w:pgMar w:bottom="1152" w:top="1152" w:left="1152" w:right="115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Arial Unicode MS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Quattrocen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pos="6750"/>
        <w:tab w:val="right" w:pos="13500"/>
      </w:tabs>
      <w:contextualSpacing w:val="0"/>
      <w:rPr>
        <w:rFonts w:ascii="Arial" w:cs="Arial" w:eastAsia="Arial" w:hAnsi="Arial"/>
        <w:i w:val="1"/>
        <w:color w:val="000000"/>
        <w:sz w:val="20"/>
        <w:szCs w:val="20"/>
      </w:rPr>
    </w:pP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Page 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 of 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right" w:pos="13500"/>
      </w:tabs>
      <w:contextualSpacing w:val="0"/>
      <w:rPr>
        <w:rFonts w:ascii="Arial" w:cs="Arial" w:eastAsia="Arial" w:hAnsi="Arial"/>
        <w:i w:val="1"/>
        <w:color w:val="000000"/>
        <w:sz w:val="20"/>
        <w:szCs w:val="20"/>
      </w:rPr>
    </w:pP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ab/>
      <w:t xml:space="preserve">0</w:t>
    </w:r>
    <w:r w:rsidDel="00000000" w:rsidR="00000000" w:rsidRPr="00000000">
      <w:rPr>
        <w:rFonts w:ascii="Arial" w:cs="Arial" w:eastAsia="Arial" w:hAnsi="Arial"/>
        <w:i w:val="1"/>
        <w:sz w:val="20"/>
        <w:szCs w:val="20"/>
        <w:rtl w:val="0"/>
      </w:rPr>
      <w:t xml:space="preserve">6-22</w:t>
    </w:r>
    <w:r w:rsidDel="00000000" w:rsidR="00000000" w:rsidRPr="00000000">
      <w:rPr>
        <w:rFonts w:ascii="Arial" w:cs="Arial" w:eastAsia="Arial" w:hAnsi="Arial"/>
        <w:i w:val="1"/>
        <w:color w:val="000000"/>
        <w:sz w:val="20"/>
        <w:szCs w:val="20"/>
        <w:rtl w:val="0"/>
      </w:rPr>
      <w:t xml:space="preserve">-2018</w: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2"/>
        <w:szCs w:val="22"/>
        <w:lang w:val="en-US"/>
      </w:rPr>
    </w:rPrDefault>
    <w:pPrDefault>
      <w:pPr>
        <w:spacing w:after="60" w:before="6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pBdr>
        <w:bottom w:color="000000" w:space="1" w:sz="4" w:val="single"/>
      </w:pBdr>
      <w:spacing w:before="240" w:lineRule="auto"/>
      <w:ind w:left="-86"/>
    </w:pPr>
    <w:rPr>
      <w:rFonts w:ascii="Arial" w:cs="Arial" w:eastAsia="Arial" w:hAnsi="Arial"/>
      <w:b w:val="1"/>
      <w:sz w:val="36"/>
      <w:szCs w:val="36"/>
    </w:rPr>
  </w:style>
  <w:style w:type="paragraph" w:styleId="Heading2">
    <w:name w:val="heading 2"/>
    <w:basedOn w:val="Normal"/>
    <w:next w:val="Normal"/>
    <w:pPr>
      <w:keepNext w:val="1"/>
    </w:pPr>
    <w:rPr>
      <w:rFonts w:ascii="Arial" w:cs="Arial" w:eastAsia="Arial" w:hAnsi="Arial"/>
      <w:b w:val="1"/>
      <w:i w:val="1"/>
      <w:sz w:val="24"/>
      <w:szCs w:val="24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5.0" w:type="dxa"/>
        <w:left w:w="115.0" w:type="dxa"/>
        <w:bottom w:w="115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Relationship Id="rId5" Type="http://schemas.openxmlformats.org/officeDocument/2006/relationships/font" Target="fonts/QuattrocentoSans-regular.ttf"/><Relationship Id="rId6" Type="http://schemas.openxmlformats.org/officeDocument/2006/relationships/font" Target="fonts/QuattrocentoSans-bold.ttf"/><Relationship Id="rId7" Type="http://schemas.openxmlformats.org/officeDocument/2006/relationships/font" Target="fonts/QuattrocentoSans-italic.ttf"/><Relationship Id="rId8" Type="http://schemas.openxmlformats.org/officeDocument/2006/relationships/font" Target="fonts/Quattrocen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